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AE" w:rsidRDefault="009D1AAE" w:rsidP="009D1AAE">
      <w:pPr>
        <w:shd w:val="clear" w:color="auto" w:fill="FFFFFF"/>
        <w:spacing w:before="15" w:after="0" w:line="330" w:lineRule="atLeast"/>
        <w:jc w:val="center"/>
        <w:outlineLvl w:val="0"/>
        <w:rPr>
          <w:rFonts w:ascii="Arial" w:eastAsia="Times New Roman" w:hAnsi="Arial" w:cs="Arial"/>
          <w:b/>
          <w:bCs/>
          <w:color w:val="5B4833"/>
          <w:kern w:val="36"/>
          <w:sz w:val="29"/>
          <w:szCs w:val="29"/>
          <w:lang w:eastAsia="fr-FR"/>
        </w:rPr>
      </w:pPr>
      <w:bookmarkStart w:id="0" w:name="_GoBack"/>
      <w:bookmarkEnd w:id="0"/>
      <w:r w:rsidRPr="009D1AAE">
        <w:rPr>
          <w:rFonts w:ascii="Arial" w:eastAsia="Times New Roman" w:hAnsi="Arial" w:cs="Arial"/>
          <w:b/>
          <w:bCs/>
          <w:color w:val="5B4833"/>
          <w:kern w:val="36"/>
          <w:sz w:val="29"/>
          <w:szCs w:val="29"/>
          <w:lang w:eastAsia="fr-FR"/>
        </w:rPr>
        <w:t>Formation</w:t>
      </w:r>
      <w:r>
        <w:rPr>
          <w:rFonts w:ascii="Arial" w:eastAsia="Times New Roman" w:hAnsi="Arial" w:cs="Arial"/>
          <w:b/>
          <w:bCs/>
          <w:color w:val="5B4833"/>
          <w:kern w:val="36"/>
          <w:sz w:val="29"/>
          <w:szCs w:val="29"/>
          <w:lang w:eastAsia="fr-FR"/>
        </w:rPr>
        <w:t>s</w:t>
      </w:r>
      <w:r w:rsidRPr="009D1AAE">
        <w:rPr>
          <w:rFonts w:ascii="Arial" w:eastAsia="Times New Roman" w:hAnsi="Arial" w:cs="Arial"/>
          <w:b/>
          <w:bCs/>
          <w:color w:val="5B4833"/>
          <w:kern w:val="36"/>
          <w:sz w:val="29"/>
          <w:szCs w:val="29"/>
          <w:lang w:eastAsia="fr-FR"/>
        </w:rPr>
        <w:t xml:space="preserve"> sur le </w:t>
      </w:r>
      <w:proofErr w:type="spellStart"/>
      <w:r w:rsidRPr="009D1AAE">
        <w:rPr>
          <w:rFonts w:ascii="Arial" w:eastAsia="Times New Roman" w:hAnsi="Arial" w:cs="Arial"/>
          <w:b/>
          <w:bCs/>
          <w:color w:val="5B4833"/>
          <w:kern w:val="36"/>
          <w:sz w:val="29"/>
          <w:szCs w:val="29"/>
          <w:lang w:eastAsia="fr-FR"/>
        </w:rPr>
        <w:t>Répérage</w:t>
      </w:r>
      <w:proofErr w:type="spellEnd"/>
      <w:r w:rsidRPr="009D1AAE">
        <w:rPr>
          <w:rFonts w:ascii="Arial" w:eastAsia="Times New Roman" w:hAnsi="Arial" w:cs="Arial"/>
          <w:b/>
          <w:bCs/>
          <w:color w:val="5B4833"/>
          <w:kern w:val="36"/>
          <w:sz w:val="29"/>
          <w:szCs w:val="29"/>
          <w:lang w:eastAsia="fr-FR"/>
        </w:rPr>
        <w:t xml:space="preserve"> et l’Orientation de la Crise Suicidaire </w:t>
      </w:r>
      <w:r>
        <w:rPr>
          <w:rFonts w:ascii="Arial" w:eastAsia="Times New Roman" w:hAnsi="Arial" w:cs="Arial"/>
          <w:b/>
          <w:bCs/>
          <w:color w:val="5B4833"/>
          <w:kern w:val="36"/>
          <w:sz w:val="29"/>
          <w:szCs w:val="29"/>
          <w:lang w:eastAsia="fr-FR"/>
        </w:rPr>
        <w:t>2015</w:t>
      </w:r>
    </w:p>
    <w:p w:rsidR="009D1AAE" w:rsidRPr="009D1AAE" w:rsidRDefault="009D1AAE" w:rsidP="009D1AAE">
      <w:pPr>
        <w:shd w:val="clear" w:color="auto" w:fill="FFFFFF"/>
        <w:spacing w:before="15" w:after="0" w:line="330" w:lineRule="atLeast"/>
        <w:jc w:val="center"/>
        <w:outlineLvl w:val="0"/>
        <w:rPr>
          <w:rFonts w:ascii="Arial" w:eastAsia="Times New Roman" w:hAnsi="Arial" w:cs="Arial"/>
          <w:b/>
          <w:bCs/>
          <w:color w:val="5B4833"/>
          <w:kern w:val="36"/>
          <w:sz w:val="29"/>
          <w:szCs w:val="29"/>
          <w:lang w:eastAsia="fr-FR"/>
        </w:rPr>
      </w:pPr>
      <w:proofErr w:type="gramStart"/>
      <w:r w:rsidRPr="009D1AAE">
        <w:rPr>
          <w:rFonts w:ascii="Arial" w:eastAsia="Times New Roman" w:hAnsi="Arial" w:cs="Arial"/>
          <w:b/>
          <w:bCs/>
          <w:color w:val="5B4833"/>
          <w:kern w:val="36"/>
          <w:sz w:val="29"/>
          <w:szCs w:val="29"/>
          <w:lang w:eastAsia="fr-FR"/>
        </w:rPr>
        <w:t>à</w:t>
      </w:r>
      <w:proofErr w:type="gramEnd"/>
      <w:r w:rsidRPr="009D1AAE">
        <w:rPr>
          <w:rFonts w:ascii="Arial" w:eastAsia="Times New Roman" w:hAnsi="Arial" w:cs="Arial"/>
          <w:b/>
          <w:bCs/>
          <w:color w:val="5B4833"/>
          <w:kern w:val="36"/>
          <w:sz w:val="29"/>
          <w:szCs w:val="29"/>
          <w:lang w:eastAsia="fr-FR"/>
        </w:rPr>
        <w:t xml:space="preserve"> </w:t>
      </w:r>
      <w:r>
        <w:rPr>
          <w:rFonts w:ascii="Arial" w:eastAsia="Times New Roman" w:hAnsi="Arial" w:cs="Arial"/>
          <w:b/>
          <w:bCs/>
          <w:color w:val="5B4833"/>
          <w:kern w:val="36"/>
          <w:sz w:val="29"/>
          <w:szCs w:val="29"/>
          <w:lang w:eastAsia="fr-FR"/>
        </w:rPr>
        <w:t>Vendôme et Romorantin (41</w:t>
      </w:r>
      <w:r w:rsidRPr="009D1AAE">
        <w:rPr>
          <w:rFonts w:ascii="Arial" w:eastAsia="Times New Roman" w:hAnsi="Arial" w:cs="Arial"/>
          <w:b/>
          <w:bCs/>
          <w:color w:val="5B4833"/>
          <w:kern w:val="36"/>
          <w:sz w:val="29"/>
          <w:szCs w:val="29"/>
          <w:lang w:eastAsia="fr-FR"/>
        </w:rPr>
        <w:t>)</w:t>
      </w:r>
    </w:p>
    <w:p w:rsidR="009D1AAE" w:rsidRPr="009D1AAE" w:rsidRDefault="00845F9C" w:rsidP="009D1AAE">
      <w:pPr>
        <w:shd w:val="clear" w:color="auto" w:fill="FFFFFF"/>
        <w:spacing w:after="0" w:line="270" w:lineRule="atLeast"/>
        <w:rPr>
          <w:rFonts w:ascii="Tahoma" w:eastAsia="Times New Roman" w:hAnsi="Tahoma" w:cs="Tahoma"/>
          <w:color w:val="2C2B2B"/>
          <w:sz w:val="17"/>
          <w:szCs w:val="17"/>
          <w:lang w:eastAsia="fr-FR"/>
        </w:rPr>
      </w:pPr>
      <w:hyperlink r:id="rId6" w:tooltip="Voir tous les articles dans Formations" w:history="1">
        <w:r w:rsidR="009D1AAE" w:rsidRPr="009D1AAE">
          <w:rPr>
            <w:rFonts w:ascii="Tahoma" w:eastAsia="Times New Roman" w:hAnsi="Tahoma" w:cs="Tahoma"/>
            <w:color w:val="5B4833"/>
            <w:sz w:val="17"/>
            <w:szCs w:val="17"/>
            <w:u w:val="single"/>
            <w:lang w:eastAsia="fr-FR"/>
          </w:rPr>
          <w:t>Formations</w:t>
        </w:r>
      </w:hyperlink>
    </w:p>
    <w:p w:rsidR="009D1AAE" w:rsidRPr="009D1AAE" w:rsidRDefault="009D1AAE" w:rsidP="009D1AAE">
      <w:pPr>
        <w:shd w:val="clear" w:color="auto" w:fill="FFFFFF"/>
        <w:spacing w:before="300" w:after="75" w:line="240" w:lineRule="auto"/>
        <w:jc w:val="center"/>
        <w:outlineLvl w:val="3"/>
        <w:rPr>
          <w:rFonts w:ascii="Arial" w:eastAsia="Times New Roman" w:hAnsi="Arial" w:cs="Arial"/>
          <w:b/>
          <w:bCs/>
          <w:color w:val="333333"/>
          <w:sz w:val="21"/>
          <w:szCs w:val="21"/>
          <w:lang w:eastAsia="fr-FR"/>
        </w:rPr>
      </w:pPr>
      <w:r w:rsidRPr="009D1AAE">
        <w:rPr>
          <w:rFonts w:ascii="Arial" w:eastAsia="Times New Roman" w:hAnsi="Arial" w:cs="Arial"/>
          <w:b/>
          <w:bCs/>
          <w:color w:val="FF6600"/>
          <w:sz w:val="21"/>
          <w:szCs w:val="21"/>
          <w:lang w:eastAsia="fr-FR"/>
        </w:rPr>
        <w:t>Stratégie nationale d’actions face au suicide :</w:t>
      </w:r>
    </w:p>
    <w:p w:rsidR="009D1AAE" w:rsidRPr="009D1AAE" w:rsidRDefault="009D1AAE" w:rsidP="009D1AAE">
      <w:pPr>
        <w:shd w:val="clear" w:color="auto" w:fill="FFFFFF"/>
        <w:spacing w:before="300" w:after="75" w:line="240" w:lineRule="auto"/>
        <w:jc w:val="center"/>
        <w:outlineLvl w:val="3"/>
        <w:rPr>
          <w:rFonts w:ascii="Arial" w:eastAsia="Times New Roman" w:hAnsi="Arial" w:cs="Arial"/>
          <w:b/>
          <w:bCs/>
          <w:color w:val="333333"/>
          <w:sz w:val="21"/>
          <w:szCs w:val="21"/>
          <w:lang w:eastAsia="fr-FR"/>
        </w:rPr>
      </w:pPr>
      <w:r w:rsidRPr="009D1AAE">
        <w:rPr>
          <w:rFonts w:ascii="Arial" w:eastAsia="Times New Roman" w:hAnsi="Arial" w:cs="Arial"/>
          <w:b/>
          <w:bCs/>
          <w:color w:val="FF6600"/>
          <w:sz w:val="21"/>
          <w:szCs w:val="21"/>
          <w:lang w:eastAsia="fr-FR"/>
        </w:rPr>
        <w:t>Formation sur le repérage et l’orientation de la crise suicidaire </w:t>
      </w:r>
    </w:p>
    <w:p w:rsidR="009D1AAE" w:rsidRPr="009D1AAE" w:rsidRDefault="009D1AAE" w:rsidP="009D1AAE">
      <w:pPr>
        <w:shd w:val="clear" w:color="auto" w:fill="FFFFFF"/>
        <w:spacing w:before="150" w:after="0" w:line="270" w:lineRule="atLeast"/>
        <w:jc w:val="center"/>
        <w:rPr>
          <w:rFonts w:ascii="Arial" w:eastAsia="Times New Roman" w:hAnsi="Arial" w:cs="Arial"/>
          <w:color w:val="2B2A2A"/>
          <w:sz w:val="18"/>
          <w:szCs w:val="18"/>
          <w:lang w:eastAsia="fr-FR"/>
        </w:rPr>
      </w:pPr>
      <w:r w:rsidRPr="009D1AAE">
        <w:rPr>
          <w:rFonts w:ascii="Arial" w:eastAsia="Times New Roman" w:hAnsi="Arial" w:cs="Arial"/>
          <w:color w:val="2B2A2A"/>
          <w:sz w:val="18"/>
          <w:szCs w:val="18"/>
          <w:lang w:eastAsia="fr-FR"/>
        </w:rPr>
        <w:t>Il s’agit d’une formation qui s’inscrit dans le cadre de la stratégie nationale d’actions face au suicide et qui est développée par la direction générale de la santé. Elle est organisée localement par l’Ars du Centre et des formateurs.</w:t>
      </w:r>
    </w:p>
    <w:p w:rsidR="009D1AAE" w:rsidRPr="009D1AAE" w:rsidRDefault="009D1AAE" w:rsidP="009D1AAE">
      <w:pPr>
        <w:shd w:val="clear" w:color="auto" w:fill="FFFFFF"/>
        <w:spacing w:before="150" w:after="0" w:line="270" w:lineRule="atLeast"/>
        <w:rPr>
          <w:rFonts w:ascii="Arial" w:eastAsia="Times New Roman" w:hAnsi="Arial" w:cs="Arial"/>
          <w:color w:val="2B2A2A"/>
          <w:sz w:val="18"/>
          <w:szCs w:val="18"/>
          <w:lang w:eastAsia="fr-FR"/>
        </w:rPr>
      </w:pPr>
      <w:r w:rsidRPr="009D1AAE">
        <w:rPr>
          <w:rFonts w:ascii="Arial" w:eastAsia="Times New Roman" w:hAnsi="Arial" w:cs="Arial"/>
          <w:color w:val="2B2A2A"/>
          <w:sz w:val="18"/>
          <w:szCs w:val="18"/>
          <w:lang w:eastAsia="fr-FR"/>
        </w:rPr>
        <w:t> Cette formation </w:t>
      </w:r>
      <w:r w:rsidRPr="009D1AAE">
        <w:rPr>
          <w:rFonts w:ascii="Arial" w:eastAsia="Times New Roman" w:hAnsi="Arial" w:cs="Arial"/>
          <w:b/>
          <w:bCs/>
          <w:color w:val="2B2A2A"/>
          <w:sz w:val="18"/>
          <w:szCs w:val="18"/>
          <w:lang w:eastAsia="fr-FR"/>
        </w:rPr>
        <w:t>s’adresse aux professionnels</w:t>
      </w:r>
      <w:r w:rsidRPr="009D1AAE">
        <w:rPr>
          <w:rFonts w:ascii="Arial" w:eastAsia="Times New Roman" w:hAnsi="Arial" w:cs="Arial"/>
          <w:color w:val="2B2A2A"/>
          <w:sz w:val="18"/>
          <w:szCs w:val="18"/>
          <w:lang w:eastAsia="fr-FR"/>
        </w:rPr>
        <w:t> qui interviennent auprès de personnes qui peuvent être en crise suicidaire ou qui sont déjà passées à l’acte. Elle leur apporte un outil qui peut être utilisé au sein de leur pratique pour détecter et éventuellement désamorcer un processus suicidaire en cours.</w:t>
      </w:r>
    </w:p>
    <w:p w:rsidR="009D1AAE" w:rsidRPr="009D1AAE" w:rsidRDefault="009D1AAE" w:rsidP="009D1AAE">
      <w:pPr>
        <w:shd w:val="clear" w:color="auto" w:fill="FFFFFF"/>
        <w:spacing w:before="150" w:after="0" w:line="270" w:lineRule="atLeast"/>
        <w:rPr>
          <w:rFonts w:ascii="Arial" w:eastAsia="Times New Roman" w:hAnsi="Arial" w:cs="Arial"/>
          <w:color w:val="2B2A2A"/>
          <w:sz w:val="18"/>
          <w:szCs w:val="18"/>
          <w:lang w:eastAsia="fr-FR"/>
        </w:rPr>
      </w:pPr>
      <w:r w:rsidRPr="009D1AAE">
        <w:rPr>
          <w:rFonts w:ascii="Arial" w:eastAsia="Times New Roman" w:hAnsi="Arial" w:cs="Arial"/>
          <w:color w:val="2B2A2A"/>
          <w:sz w:val="18"/>
          <w:szCs w:val="18"/>
          <w:lang w:eastAsia="fr-FR"/>
        </w:rPr>
        <w:t>On entend ici par personne ressource tout professionnel au contact d’un individu en crise suicidaire ; il ne s’agit pas ici de former un intervenant qui pourrait devenir le seul interlocuteur au sein de son institution devant une personne (patient ou non) à risque de suicide.</w:t>
      </w:r>
    </w:p>
    <w:p w:rsidR="009D1AAE" w:rsidRPr="009D1AAE" w:rsidRDefault="009D1AAE" w:rsidP="009D1AAE">
      <w:pPr>
        <w:shd w:val="clear" w:color="auto" w:fill="FFFFFF"/>
        <w:spacing w:before="150" w:after="0" w:line="270" w:lineRule="atLeast"/>
        <w:rPr>
          <w:rFonts w:ascii="Arial" w:eastAsia="Times New Roman" w:hAnsi="Arial" w:cs="Arial"/>
          <w:color w:val="2B2A2A"/>
          <w:sz w:val="18"/>
          <w:szCs w:val="18"/>
          <w:lang w:eastAsia="fr-FR"/>
        </w:rPr>
      </w:pPr>
      <w:r w:rsidRPr="009D1AAE">
        <w:rPr>
          <w:rFonts w:ascii="Arial" w:eastAsia="Times New Roman" w:hAnsi="Arial" w:cs="Arial"/>
          <w:color w:val="2B2A2A"/>
          <w:sz w:val="18"/>
          <w:szCs w:val="18"/>
          <w:lang w:eastAsia="fr-FR"/>
        </w:rPr>
        <w:t>Cette formation se déroule de manière interactive sur 2 jours + 1 journée à distance et est ponctuée par l’attribution d’une attestation officielle.</w:t>
      </w:r>
    </w:p>
    <w:p w:rsidR="009D1AAE" w:rsidRPr="009D1AAE" w:rsidRDefault="009D1AAE" w:rsidP="009D1AAE">
      <w:pPr>
        <w:numPr>
          <w:ilvl w:val="0"/>
          <w:numId w:val="1"/>
        </w:numPr>
        <w:shd w:val="clear" w:color="auto" w:fill="FFFFFF"/>
        <w:spacing w:after="105" w:line="270" w:lineRule="atLeast"/>
        <w:ind w:left="450"/>
        <w:rPr>
          <w:rFonts w:ascii="Arial" w:eastAsia="Times New Roman" w:hAnsi="Arial" w:cs="Arial"/>
          <w:color w:val="2B2A2A"/>
          <w:sz w:val="18"/>
          <w:szCs w:val="18"/>
          <w:lang w:eastAsia="fr-FR"/>
        </w:rPr>
      </w:pPr>
      <w:r w:rsidRPr="009D1AAE">
        <w:rPr>
          <w:rFonts w:ascii="Arial" w:eastAsia="Times New Roman" w:hAnsi="Arial" w:cs="Arial"/>
          <w:b/>
          <w:bCs/>
          <w:color w:val="2B2A2A"/>
          <w:sz w:val="18"/>
          <w:szCs w:val="18"/>
          <w:lang w:eastAsia="fr-FR"/>
        </w:rPr>
        <w:t>Les deux premiers jours comportent une partie théorique et une partie pratique</w:t>
      </w:r>
    </w:p>
    <w:p w:rsidR="009D1AAE" w:rsidRPr="009D1AAE" w:rsidRDefault="009D1AAE" w:rsidP="009D1AAE">
      <w:pPr>
        <w:shd w:val="clear" w:color="auto" w:fill="FFFFFF"/>
        <w:spacing w:before="150" w:after="0" w:line="270" w:lineRule="atLeast"/>
        <w:rPr>
          <w:rFonts w:ascii="Arial" w:eastAsia="Times New Roman" w:hAnsi="Arial" w:cs="Arial"/>
          <w:color w:val="2B2A2A"/>
          <w:sz w:val="18"/>
          <w:szCs w:val="18"/>
          <w:lang w:eastAsia="fr-FR"/>
        </w:rPr>
      </w:pPr>
      <w:r w:rsidRPr="009D1AAE">
        <w:rPr>
          <w:rFonts w:ascii="Arial" w:eastAsia="Times New Roman" w:hAnsi="Arial" w:cs="Arial"/>
          <w:i/>
          <w:iCs/>
          <w:color w:val="2B2A2A"/>
          <w:sz w:val="18"/>
          <w:szCs w:val="18"/>
          <w:lang w:eastAsia="fr-FR"/>
        </w:rPr>
        <w:t>1 -  La théorie</w:t>
      </w:r>
    </w:p>
    <w:p w:rsidR="009D1AAE" w:rsidRPr="009D1AAE" w:rsidRDefault="009D1AAE" w:rsidP="009D1AAE">
      <w:pPr>
        <w:shd w:val="clear" w:color="auto" w:fill="FFFFFF"/>
        <w:spacing w:before="150" w:after="0" w:line="270" w:lineRule="atLeast"/>
        <w:rPr>
          <w:rFonts w:ascii="Arial" w:eastAsia="Times New Roman" w:hAnsi="Arial" w:cs="Arial"/>
          <w:color w:val="2B2A2A"/>
          <w:sz w:val="18"/>
          <w:szCs w:val="18"/>
          <w:lang w:eastAsia="fr-FR"/>
        </w:rPr>
      </w:pPr>
      <w:r w:rsidRPr="009D1AAE">
        <w:rPr>
          <w:rFonts w:ascii="Arial" w:eastAsia="Times New Roman" w:hAnsi="Arial" w:cs="Arial"/>
          <w:color w:val="2B2A2A"/>
          <w:sz w:val="18"/>
          <w:szCs w:val="18"/>
          <w:lang w:eastAsia="fr-FR"/>
        </w:rPr>
        <w:t>Elle aborde les généralités sur le suicide, l’épidémiologie, la gestion de la crise suicidaire (conduite à tenir devant des idées suicidaires) et son désamorçage.</w:t>
      </w:r>
    </w:p>
    <w:p w:rsidR="009D1AAE" w:rsidRPr="009D1AAE" w:rsidRDefault="009D1AAE" w:rsidP="009D1AAE">
      <w:pPr>
        <w:shd w:val="clear" w:color="auto" w:fill="FFFFFF"/>
        <w:spacing w:before="150" w:after="0" w:line="270" w:lineRule="atLeast"/>
        <w:rPr>
          <w:rFonts w:ascii="Arial" w:eastAsia="Times New Roman" w:hAnsi="Arial" w:cs="Arial"/>
          <w:color w:val="2B2A2A"/>
          <w:sz w:val="18"/>
          <w:szCs w:val="18"/>
          <w:lang w:eastAsia="fr-FR"/>
        </w:rPr>
      </w:pPr>
      <w:r w:rsidRPr="009D1AAE">
        <w:rPr>
          <w:rFonts w:ascii="Arial" w:eastAsia="Times New Roman" w:hAnsi="Arial" w:cs="Arial"/>
          <w:color w:val="2B2A2A"/>
          <w:sz w:val="18"/>
          <w:szCs w:val="18"/>
          <w:lang w:eastAsia="fr-FR"/>
        </w:rPr>
        <w:t>Certains cas particuliers (comme les jeunes ; les personnes âgées, les endeuillés par suicide ou le suicide en institution) peuvent être éventuellement parfois abordés.</w:t>
      </w:r>
    </w:p>
    <w:p w:rsidR="009D1AAE" w:rsidRPr="009D1AAE" w:rsidRDefault="009D1AAE" w:rsidP="009D1AAE">
      <w:pPr>
        <w:shd w:val="clear" w:color="auto" w:fill="FFFFFF"/>
        <w:spacing w:before="150" w:after="0" w:line="270" w:lineRule="atLeast"/>
        <w:rPr>
          <w:rFonts w:ascii="Arial" w:eastAsia="Times New Roman" w:hAnsi="Arial" w:cs="Arial"/>
          <w:color w:val="2B2A2A"/>
          <w:sz w:val="18"/>
          <w:szCs w:val="18"/>
          <w:lang w:eastAsia="fr-FR"/>
        </w:rPr>
      </w:pPr>
      <w:r w:rsidRPr="009D1AAE">
        <w:rPr>
          <w:rFonts w:ascii="Arial" w:eastAsia="Times New Roman" w:hAnsi="Arial" w:cs="Arial"/>
          <w:i/>
          <w:iCs/>
          <w:color w:val="2B2A2A"/>
          <w:sz w:val="18"/>
          <w:szCs w:val="18"/>
          <w:lang w:eastAsia="fr-FR"/>
        </w:rPr>
        <w:t>2 -  La pratique</w:t>
      </w:r>
    </w:p>
    <w:p w:rsidR="009D1AAE" w:rsidRPr="009D1AAE" w:rsidRDefault="009D1AAE" w:rsidP="009D1AAE">
      <w:pPr>
        <w:shd w:val="clear" w:color="auto" w:fill="FFFFFF"/>
        <w:spacing w:before="150" w:after="0" w:line="270" w:lineRule="atLeast"/>
        <w:rPr>
          <w:rFonts w:ascii="Arial" w:eastAsia="Times New Roman" w:hAnsi="Arial" w:cs="Arial"/>
          <w:color w:val="2B2A2A"/>
          <w:sz w:val="18"/>
          <w:szCs w:val="18"/>
          <w:lang w:eastAsia="fr-FR"/>
        </w:rPr>
      </w:pPr>
      <w:r w:rsidRPr="009D1AAE">
        <w:rPr>
          <w:rFonts w:ascii="Arial" w:eastAsia="Times New Roman" w:hAnsi="Arial" w:cs="Arial"/>
          <w:color w:val="2B2A2A"/>
          <w:sz w:val="18"/>
          <w:szCs w:val="18"/>
          <w:lang w:eastAsia="fr-FR"/>
        </w:rPr>
        <w:t>L’apport théorique est mis en application par l’intermédiaire de jeux de rôles basés sur des cas cliniques structurés. Au cours de ces jeux de rôle les participants sont accompagnés par les organisatrices.</w:t>
      </w:r>
    </w:p>
    <w:p w:rsidR="009D1AAE" w:rsidRPr="009D1AAE" w:rsidRDefault="009D1AAE" w:rsidP="009D1AAE">
      <w:pPr>
        <w:shd w:val="clear" w:color="auto" w:fill="FFFFFF"/>
        <w:spacing w:before="150" w:after="0" w:line="270" w:lineRule="atLeast"/>
        <w:rPr>
          <w:rFonts w:ascii="Arial" w:eastAsia="Times New Roman" w:hAnsi="Arial" w:cs="Arial"/>
          <w:color w:val="2B2A2A"/>
          <w:sz w:val="18"/>
          <w:szCs w:val="18"/>
          <w:lang w:eastAsia="fr-FR"/>
        </w:rPr>
      </w:pPr>
      <w:r w:rsidRPr="009D1AAE">
        <w:rPr>
          <w:rFonts w:ascii="Arial" w:eastAsia="Times New Roman" w:hAnsi="Arial" w:cs="Arial"/>
          <w:color w:val="2B2A2A"/>
          <w:sz w:val="18"/>
          <w:szCs w:val="18"/>
          <w:lang w:eastAsia="fr-FR"/>
        </w:rPr>
        <w:t>Par ailleurs il n’y a aucun jeu de rôle en grand groupe mais par petits groupes de 3 personnes.</w:t>
      </w:r>
    </w:p>
    <w:p w:rsidR="009D1AAE" w:rsidRPr="009D1AAE" w:rsidRDefault="009D1AAE" w:rsidP="009D1AAE">
      <w:pPr>
        <w:numPr>
          <w:ilvl w:val="0"/>
          <w:numId w:val="2"/>
        </w:numPr>
        <w:shd w:val="clear" w:color="auto" w:fill="FFFFFF"/>
        <w:spacing w:after="105" w:line="270" w:lineRule="atLeast"/>
        <w:ind w:left="450"/>
        <w:rPr>
          <w:rFonts w:ascii="Arial" w:eastAsia="Times New Roman" w:hAnsi="Arial" w:cs="Arial"/>
          <w:color w:val="2B2A2A"/>
          <w:sz w:val="18"/>
          <w:szCs w:val="18"/>
          <w:lang w:eastAsia="fr-FR"/>
        </w:rPr>
      </w:pPr>
      <w:r w:rsidRPr="009D1AAE">
        <w:rPr>
          <w:rFonts w:ascii="Arial" w:eastAsia="Times New Roman" w:hAnsi="Arial" w:cs="Arial"/>
          <w:b/>
          <w:bCs/>
          <w:color w:val="2B2A2A"/>
          <w:sz w:val="18"/>
          <w:szCs w:val="18"/>
          <w:lang w:eastAsia="fr-FR"/>
        </w:rPr>
        <w:t>La troisième journée</w:t>
      </w:r>
    </w:p>
    <w:p w:rsidR="009D1AAE" w:rsidRDefault="009D1AAE" w:rsidP="009D1AAE">
      <w:pPr>
        <w:shd w:val="clear" w:color="auto" w:fill="FFFFFF"/>
        <w:spacing w:before="150" w:after="0" w:line="270" w:lineRule="atLeast"/>
        <w:rPr>
          <w:rFonts w:ascii="Arial" w:eastAsia="Times New Roman" w:hAnsi="Arial" w:cs="Arial"/>
          <w:color w:val="2B2A2A"/>
          <w:sz w:val="18"/>
          <w:szCs w:val="18"/>
          <w:lang w:eastAsia="fr-FR"/>
        </w:rPr>
      </w:pPr>
      <w:r w:rsidRPr="009D1AAE">
        <w:rPr>
          <w:rFonts w:ascii="Arial" w:eastAsia="Times New Roman" w:hAnsi="Arial" w:cs="Arial"/>
          <w:color w:val="2B2A2A"/>
          <w:sz w:val="18"/>
          <w:szCs w:val="18"/>
          <w:lang w:eastAsia="fr-FR"/>
        </w:rPr>
        <w:t>Elle a lieu 6 mois à 1 an après la formation initiale. Elle comporte une mise au point sur les outils que les personnes formées auront pu utiliser au cours de ce laps de temps dans la gestion de la crise ; les difficultés éventuellement rencontrées et un partage de leur  expérience. Un nouveau cas clinique au travers d’un jeu de rôle sera proposé afin de faire un rappel des deux jours précédents.</w:t>
      </w:r>
    </w:p>
    <w:p w:rsidR="009D1AAE" w:rsidRDefault="009D1AAE" w:rsidP="009D1AAE">
      <w:pPr>
        <w:shd w:val="clear" w:color="auto" w:fill="FFFFFF"/>
        <w:spacing w:before="150" w:after="0" w:line="270" w:lineRule="atLeast"/>
        <w:rPr>
          <w:rFonts w:ascii="Arial" w:eastAsia="Times New Roman" w:hAnsi="Arial" w:cs="Arial"/>
          <w:color w:val="2B2A2A"/>
          <w:sz w:val="18"/>
          <w:szCs w:val="18"/>
          <w:lang w:eastAsia="fr-FR"/>
        </w:rPr>
      </w:pPr>
    </w:p>
    <w:tbl>
      <w:tblPr>
        <w:tblStyle w:val="Grilledutableau"/>
        <w:tblW w:w="0" w:type="auto"/>
        <w:tblLook w:val="04A0" w:firstRow="1" w:lastRow="0" w:firstColumn="1" w:lastColumn="0" w:noHBand="0" w:noVBand="1"/>
      </w:tblPr>
      <w:tblGrid>
        <w:gridCol w:w="2303"/>
        <w:gridCol w:w="2303"/>
        <w:gridCol w:w="2303"/>
        <w:gridCol w:w="2303"/>
      </w:tblGrid>
      <w:tr w:rsidR="009D1AAE" w:rsidTr="009D1AAE">
        <w:tc>
          <w:tcPr>
            <w:tcW w:w="2303" w:type="dxa"/>
            <w:shd w:val="clear" w:color="auto" w:fill="8DB3E2" w:themeFill="text2" w:themeFillTint="66"/>
          </w:tcPr>
          <w:p w:rsidR="009D1AAE" w:rsidRPr="005563F9" w:rsidRDefault="009D1AAE" w:rsidP="005563F9">
            <w:pPr>
              <w:spacing w:before="150"/>
              <w:jc w:val="center"/>
              <w:rPr>
                <w:rFonts w:ascii="Arial" w:eastAsia="Times New Roman" w:hAnsi="Arial" w:cs="Arial"/>
                <w:b/>
                <w:color w:val="2B2A2A"/>
                <w:sz w:val="18"/>
                <w:szCs w:val="18"/>
                <w:lang w:eastAsia="fr-FR"/>
              </w:rPr>
            </w:pPr>
            <w:r w:rsidRPr="005563F9">
              <w:rPr>
                <w:rFonts w:ascii="Arial" w:eastAsia="Times New Roman" w:hAnsi="Arial" w:cs="Arial"/>
                <w:b/>
                <w:color w:val="2B2A2A"/>
                <w:sz w:val="18"/>
                <w:szCs w:val="18"/>
                <w:lang w:eastAsia="fr-FR"/>
              </w:rPr>
              <w:t>Formations sur 2 jours</w:t>
            </w:r>
          </w:p>
          <w:p w:rsidR="009D1AAE" w:rsidRPr="005563F9" w:rsidRDefault="009D1AAE" w:rsidP="005563F9">
            <w:pPr>
              <w:spacing w:before="150"/>
              <w:jc w:val="center"/>
              <w:rPr>
                <w:rFonts w:ascii="Arial" w:eastAsia="Times New Roman" w:hAnsi="Arial" w:cs="Arial"/>
                <w:b/>
                <w:color w:val="2B2A2A"/>
                <w:sz w:val="18"/>
                <w:szCs w:val="18"/>
                <w:lang w:eastAsia="fr-FR"/>
              </w:rPr>
            </w:pPr>
            <w:r w:rsidRPr="005563F9">
              <w:rPr>
                <w:rFonts w:ascii="Arial" w:eastAsia="Times New Roman" w:hAnsi="Arial" w:cs="Arial"/>
                <w:b/>
                <w:color w:val="2B2A2A"/>
                <w:sz w:val="18"/>
                <w:szCs w:val="18"/>
                <w:lang w:eastAsia="fr-FR"/>
              </w:rPr>
              <w:t>(1</w:t>
            </w:r>
            <w:r w:rsidRPr="005563F9">
              <w:rPr>
                <w:rFonts w:ascii="Arial" w:eastAsia="Times New Roman" w:hAnsi="Arial" w:cs="Arial"/>
                <w:b/>
                <w:color w:val="2B2A2A"/>
                <w:sz w:val="18"/>
                <w:szCs w:val="18"/>
                <w:vertAlign w:val="superscript"/>
                <w:lang w:eastAsia="fr-FR"/>
              </w:rPr>
              <w:t>er</w:t>
            </w:r>
            <w:r w:rsidRPr="005563F9">
              <w:rPr>
                <w:rFonts w:ascii="Arial" w:eastAsia="Times New Roman" w:hAnsi="Arial" w:cs="Arial"/>
                <w:b/>
                <w:color w:val="2B2A2A"/>
                <w:sz w:val="18"/>
                <w:szCs w:val="18"/>
                <w:lang w:eastAsia="fr-FR"/>
              </w:rPr>
              <w:t xml:space="preserve"> module)</w:t>
            </w:r>
          </w:p>
        </w:tc>
        <w:tc>
          <w:tcPr>
            <w:tcW w:w="2303" w:type="dxa"/>
            <w:shd w:val="clear" w:color="auto" w:fill="8DB3E2" w:themeFill="text2" w:themeFillTint="66"/>
          </w:tcPr>
          <w:p w:rsidR="009D1AAE" w:rsidRPr="005563F9" w:rsidRDefault="009D1AAE" w:rsidP="005563F9">
            <w:pPr>
              <w:spacing w:before="150"/>
              <w:jc w:val="center"/>
              <w:rPr>
                <w:rFonts w:ascii="Arial" w:eastAsia="Times New Roman" w:hAnsi="Arial" w:cs="Arial"/>
                <w:b/>
                <w:color w:val="2B2A2A"/>
                <w:sz w:val="18"/>
                <w:szCs w:val="18"/>
                <w:lang w:eastAsia="fr-FR"/>
              </w:rPr>
            </w:pPr>
            <w:r w:rsidRPr="005563F9">
              <w:rPr>
                <w:rFonts w:ascii="Arial" w:eastAsia="Times New Roman" w:hAnsi="Arial" w:cs="Arial"/>
                <w:b/>
                <w:color w:val="2B2A2A"/>
                <w:sz w:val="18"/>
                <w:szCs w:val="18"/>
                <w:lang w:eastAsia="fr-FR"/>
              </w:rPr>
              <w:t>Lieu</w:t>
            </w:r>
          </w:p>
        </w:tc>
        <w:tc>
          <w:tcPr>
            <w:tcW w:w="2303" w:type="dxa"/>
            <w:shd w:val="clear" w:color="auto" w:fill="8DB3E2" w:themeFill="text2" w:themeFillTint="66"/>
          </w:tcPr>
          <w:p w:rsidR="009D1AAE" w:rsidRPr="005563F9" w:rsidRDefault="009D1AAE" w:rsidP="005563F9">
            <w:pPr>
              <w:spacing w:before="150"/>
              <w:jc w:val="center"/>
              <w:rPr>
                <w:rFonts w:ascii="Arial" w:eastAsia="Times New Roman" w:hAnsi="Arial" w:cs="Arial"/>
                <w:b/>
                <w:color w:val="2B2A2A"/>
                <w:sz w:val="18"/>
                <w:szCs w:val="18"/>
                <w:lang w:eastAsia="fr-FR"/>
              </w:rPr>
            </w:pPr>
            <w:r w:rsidRPr="005563F9">
              <w:rPr>
                <w:rFonts w:ascii="Arial" w:eastAsia="Times New Roman" w:hAnsi="Arial" w:cs="Arial"/>
                <w:b/>
                <w:color w:val="2B2A2A"/>
                <w:sz w:val="18"/>
                <w:szCs w:val="18"/>
                <w:lang w:eastAsia="fr-FR"/>
              </w:rPr>
              <w:t>Journée à distance</w:t>
            </w:r>
          </w:p>
          <w:p w:rsidR="009D1AAE" w:rsidRPr="005563F9" w:rsidRDefault="009D1AAE" w:rsidP="005563F9">
            <w:pPr>
              <w:spacing w:before="150"/>
              <w:jc w:val="center"/>
              <w:rPr>
                <w:rFonts w:ascii="Arial" w:eastAsia="Times New Roman" w:hAnsi="Arial" w:cs="Arial"/>
                <w:b/>
                <w:color w:val="2B2A2A"/>
                <w:sz w:val="18"/>
                <w:szCs w:val="18"/>
                <w:lang w:eastAsia="fr-FR"/>
              </w:rPr>
            </w:pPr>
            <w:r w:rsidRPr="005563F9">
              <w:rPr>
                <w:rFonts w:ascii="Arial" w:eastAsia="Times New Roman" w:hAnsi="Arial" w:cs="Arial"/>
                <w:b/>
                <w:color w:val="2B2A2A"/>
                <w:sz w:val="18"/>
                <w:szCs w:val="18"/>
                <w:lang w:eastAsia="fr-FR"/>
              </w:rPr>
              <w:t>(2</w:t>
            </w:r>
            <w:r w:rsidRPr="005563F9">
              <w:rPr>
                <w:rFonts w:ascii="Arial" w:eastAsia="Times New Roman" w:hAnsi="Arial" w:cs="Arial"/>
                <w:b/>
                <w:color w:val="2B2A2A"/>
                <w:sz w:val="18"/>
                <w:szCs w:val="18"/>
                <w:vertAlign w:val="superscript"/>
                <w:lang w:eastAsia="fr-FR"/>
              </w:rPr>
              <w:t>ème</w:t>
            </w:r>
            <w:r w:rsidRPr="005563F9">
              <w:rPr>
                <w:rFonts w:ascii="Arial" w:eastAsia="Times New Roman" w:hAnsi="Arial" w:cs="Arial"/>
                <w:b/>
                <w:color w:val="2B2A2A"/>
                <w:sz w:val="18"/>
                <w:szCs w:val="18"/>
                <w:lang w:eastAsia="fr-FR"/>
              </w:rPr>
              <w:t xml:space="preserve"> module)</w:t>
            </w:r>
          </w:p>
        </w:tc>
        <w:tc>
          <w:tcPr>
            <w:tcW w:w="2303" w:type="dxa"/>
            <w:shd w:val="clear" w:color="auto" w:fill="8DB3E2" w:themeFill="text2" w:themeFillTint="66"/>
          </w:tcPr>
          <w:p w:rsidR="009D1AAE" w:rsidRPr="005563F9" w:rsidRDefault="009D1AAE" w:rsidP="005563F9">
            <w:pPr>
              <w:spacing w:before="150"/>
              <w:jc w:val="center"/>
              <w:rPr>
                <w:rFonts w:ascii="Arial" w:eastAsia="Times New Roman" w:hAnsi="Arial" w:cs="Arial"/>
                <w:b/>
                <w:color w:val="2B2A2A"/>
                <w:sz w:val="18"/>
                <w:szCs w:val="18"/>
                <w:lang w:eastAsia="fr-FR"/>
              </w:rPr>
            </w:pPr>
            <w:r w:rsidRPr="005563F9">
              <w:rPr>
                <w:rFonts w:ascii="Arial" w:eastAsia="Times New Roman" w:hAnsi="Arial" w:cs="Arial"/>
                <w:b/>
                <w:color w:val="2B2A2A"/>
                <w:sz w:val="18"/>
                <w:szCs w:val="18"/>
                <w:lang w:eastAsia="fr-FR"/>
              </w:rPr>
              <w:t>Lieu</w:t>
            </w:r>
          </w:p>
        </w:tc>
      </w:tr>
      <w:tr w:rsidR="009D1AAE" w:rsidTr="005563F9">
        <w:trPr>
          <w:trHeight w:val="834"/>
        </w:trPr>
        <w:tc>
          <w:tcPr>
            <w:tcW w:w="2303" w:type="dxa"/>
          </w:tcPr>
          <w:p w:rsidR="009D1AAE" w:rsidRDefault="009D1AAE" w:rsidP="009D1AAE">
            <w:pPr>
              <w:spacing w:before="150"/>
              <w:jc w:val="center"/>
              <w:rPr>
                <w:rFonts w:ascii="Arial" w:eastAsia="Times New Roman" w:hAnsi="Arial" w:cs="Arial"/>
                <w:color w:val="2B2A2A"/>
                <w:sz w:val="18"/>
                <w:szCs w:val="18"/>
                <w:lang w:eastAsia="fr-FR"/>
              </w:rPr>
            </w:pPr>
            <w:r>
              <w:rPr>
                <w:rFonts w:ascii="Arial" w:eastAsia="Times New Roman" w:hAnsi="Arial" w:cs="Arial"/>
                <w:color w:val="2B2A2A"/>
                <w:sz w:val="18"/>
                <w:szCs w:val="18"/>
                <w:lang w:eastAsia="fr-FR"/>
              </w:rPr>
              <w:t>26 et 27 mai 2015</w:t>
            </w:r>
          </w:p>
        </w:tc>
        <w:tc>
          <w:tcPr>
            <w:tcW w:w="2303" w:type="dxa"/>
          </w:tcPr>
          <w:p w:rsidR="009D1AAE" w:rsidRDefault="009D1AAE" w:rsidP="009D1AAE">
            <w:pPr>
              <w:spacing w:before="150"/>
              <w:jc w:val="center"/>
              <w:rPr>
                <w:rFonts w:ascii="Arial" w:eastAsia="Times New Roman" w:hAnsi="Arial" w:cs="Arial"/>
                <w:color w:val="2B2A2A"/>
                <w:sz w:val="18"/>
                <w:szCs w:val="18"/>
                <w:lang w:eastAsia="fr-FR"/>
              </w:rPr>
            </w:pPr>
            <w:r>
              <w:rPr>
                <w:rFonts w:ascii="Arial" w:eastAsia="Times New Roman" w:hAnsi="Arial" w:cs="Arial"/>
                <w:color w:val="2B2A2A"/>
                <w:sz w:val="18"/>
                <w:szCs w:val="18"/>
                <w:lang w:eastAsia="fr-FR"/>
              </w:rPr>
              <w:t>Vendôme</w:t>
            </w:r>
          </w:p>
        </w:tc>
        <w:tc>
          <w:tcPr>
            <w:tcW w:w="2303" w:type="dxa"/>
          </w:tcPr>
          <w:p w:rsidR="009D1AAE" w:rsidRDefault="009D1AAE" w:rsidP="009D1AAE">
            <w:pPr>
              <w:spacing w:before="150"/>
              <w:jc w:val="center"/>
              <w:rPr>
                <w:rFonts w:ascii="Arial" w:eastAsia="Times New Roman" w:hAnsi="Arial" w:cs="Arial"/>
                <w:color w:val="2B2A2A"/>
                <w:sz w:val="18"/>
                <w:szCs w:val="18"/>
                <w:lang w:eastAsia="fr-FR"/>
              </w:rPr>
            </w:pPr>
            <w:r>
              <w:rPr>
                <w:rFonts w:ascii="Arial" w:eastAsia="Times New Roman" w:hAnsi="Arial" w:cs="Arial"/>
                <w:color w:val="2B2A2A"/>
                <w:sz w:val="18"/>
                <w:szCs w:val="18"/>
                <w:lang w:eastAsia="fr-FR"/>
              </w:rPr>
              <w:t>8 octobre 2015</w:t>
            </w:r>
          </w:p>
        </w:tc>
        <w:tc>
          <w:tcPr>
            <w:tcW w:w="2303" w:type="dxa"/>
          </w:tcPr>
          <w:p w:rsidR="009D1AAE" w:rsidRDefault="009D1AAE" w:rsidP="009D1AAE">
            <w:pPr>
              <w:spacing w:before="150"/>
              <w:jc w:val="center"/>
              <w:rPr>
                <w:rFonts w:ascii="Arial" w:eastAsia="Times New Roman" w:hAnsi="Arial" w:cs="Arial"/>
                <w:color w:val="2B2A2A"/>
                <w:sz w:val="18"/>
                <w:szCs w:val="18"/>
                <w:lang w:eastAsia="fr-FR"/>
              </w:rPr>
            </w:pPr>
            <w:r>
              <w:rPr>
                <w:rFonts w:ascii="Arial" w:eastAsia="Times New Roman" w:hAnsi="Arial" w:cs="Arial"/>
                <w:color w:val="2B2A2A"/>
                <w:sz w:val="18"/>
                <w:szCs w:val="18"/>
                <w:lang w:eastAsia="fr-FR"/>
              </w:rPr>
              <w:t>Vendôme</w:t>
            </w:r>
          </w:p>
          <w:p w:rsidR="009D1AAE" w:rsidRDefault="009D1AAE" w:rsidP="009D1AAE">
            <w:pPr>
              <w:spacing w:before="150"/>
              <w:jc w:val="center"/>
              <w:rPr>
                <w:rFonts w:ascii="Arial" w:eastAsia="Times New Roman" w:hAnsi="Arial" w:cs="Arial"/>
                <w:color w:val="2B2A2A"/>
                <w:sz w:val="18"/>
                <w:szCs w:val="18"/>
                <w:lang w:eastAsia="fr-FR"/>
              </w:rPr>
            </w:pPr>
          </w:p>
        </w:tc>
      </w:tr>
      <w:tr w:rsidR="009D1AAE" w:rsidTr="009D1AAE">
        <w:trPr>
          <w:trHeight w:val="70"/>
        </w:trPr>
        <w:tc>
          <w:tcPr>
            <w:tcW w:w="2303" w:type="dxa"/>
          </w:tcPr>
          <w:p w:rsidR="009D1AAE" w:rsidRDefault="009D1AAE" w:rsidP="009D1AAE">
            <w:pPr>
              <w:spacing w:before="150"/>
              <w:jc w:val="center"/>
              <w:rPr>
                <w:rFonts w:ascii="Arial" w:eastAsia="Times New Roman" w:hAnsi="Arial" w:cs="Arial"/>
                <w:color w:val="2B2A2A"/>
                <w:sz w:val="18"/>
                <w:szCs w:val="18"/>
                <w:lang w:eastAsia="fr-FR"/>
              </w:rPr>
            </w:pPr>
            <w:r>
              <w:rPr>
                <w:rFonts w:ascii="Arial" w:eastAsia="Times New Roman" w:hAnsi="Arial" w:cs="Arial"/>
                <w:color w:val="2B2A2A"/>
                <w:sz w:val="18"/>
                <w:szCs w:val="18"/>
                <w:lang w:eastAsia="fr-FR"/>
              </w:rPr>
              <w:t>13 et 14 octobre</w:t>
            </w:r>
          </w:p>
        </w:tc>
        <w:tc>
          <w:tcPr>
            <w:tcW w:w="2303" w:type="dxa"/>
          </w:tcPr>
          <w:p w:rsidR="009D1AAE" w:rsidRDefault="009D1AAE" w:rsidP="009D1AAE">
            <w:pPr>
              <w:spacing w:before="150"/>
              <w:jc w:val="center"/>
              <w:rPr>
                <w:rFonts w:ascii="Arial" w:eastAsia="Times New Roman" w:hAnsi="Arial" w:cs="Arial"/>
                <w:color w:val="2B2A2A"/>
                <w:sz w:val="18"/>
                <w:szCs w:val="18"/>
                <w:lang w:eastAsia="fr-FR"/>
              </w:rPr>
            </w:pPr>
            <w:r>
              <w:rPr>
                <w:rFonts w:ascii="Arial" w:eastAsia="Times New Roman" w:hAnsi="Arial" w:cs="Arial"/>
                <w:color w:val="2B2A2A"/>
                <w:sz w:val="18"/>
                <w:szCs w:val="18"/>
                <w:lang w:eastAsia="fr-FR"/>
              </w:rPr>
              <w:t>Romorantin</w:t>
            </w:r>
          </w:p>
        </w:tc>
        <w:tc>
          <w:tcPr>
            <w:tcW w:w="2303" w:type="dxa"/>
          </w:tcPr>
          <w:p w:rsidR="009D1AAE" w:rsidRDefault="009D1AAE" w:rsidP="009D1AAE">
            <w:pPr>
              <w:spacing w:before="150"/>
              <w:jc w:val="center"/>
              <w:rPr>
                <w:rFonts w:ascii="Arial" w:eastAsia="Times New Roman" w:hAnsi="Arial" w:cs="Arial"/>
                <w:color w:val="2B2A2A"/>
                <w:sz w:val="18"/>
                <w:szCs w:val="18"/>
                <w:lang w:eastAsia="fr-FR"/>
              </w:rPr>
            </w:pPr>
            <w:r>
              <w:rPr>
                <w:rFonts w:ascii="Arial" w:eastAsia="Times New Roman" w:hAnsi="Arial" w:cs="Arial"/>
                <w:color w:val="2B2A2A"/>
                <w:sz w:val="18"/>
                <w:szCs w:val="18"/>
                <w:lang w:eastAsia="fr-FR"/>
              </w:rPr>
              <w:t>Programmée en 2016</w:t>
            </w:r>
          </w:p>
          <w:p w:rsidR="009D1AAE" w:rsidRDefault="009D1AAE" w:rsidP="009D1AAE">
            <w:pPr>
              <w:spacing w:before="150"/>
              <w:jc w:val="center"/>
              <w:rPr>
                <w:rFonts w:ascii="Arial" w:eastAsia="Times New Roman" w:hAnsi="Arial" w:cs="Arial"/>
                <w:color w:val="2B2A2A"/>
                <w:sz w:val="18"/>
                <w:szCs w:val="18"/>
                <w:lang w:eastAsia="fr-FR"/>
              </w:rPr>
            </w:pPr>
            <w:r>
              <w:rPr>
                <w:rFonts w:ascii="Arial" w:eastAsia="Times New Roman" w:hAnsi="Arial" w:cs="Arial"/>
                <w:color w:val="2B2A2A"/>
                <w:sz w:val="18"/>
                <w:szCs w:val="18"/>
                <w:lang w:eastAsia="fr-FR"/>
              </w:rPr>
              <w:t>(à définir)</w:t>
            </w:r>
          </w:p>
        </w:tc>
        <w:tc>
          <w:tcPr>
            <w:tcW w:w="2303" w:type="dxa"/>
          </w:tcPr>
          <w:p w:rsidR="009D1AAE" w:rsidRDefault="009D1AAE" w:rsidP="009D1AAE">
            <w:pPr>
              <w:spacing w:before="150"/>
              <w:jc w:val="center"/>
              <w:rPr>
                <w:rFonts w:ascii="Arial" w:eastAsia="Times New Roman" w:hAnsi="Arial" w:cs="Arial"/>
                <w:color w:val="2B2A2A"/>
                <w:sz w:val="18"/>
                <w:szCs w:val="18"/>
                <w:lang w:eastAsia="fr-FR"/>
              </w:rPr>
            </w:pPr>
            <w:r>
              <w:rPr>
                <w:rFonts w:ascii="Arial" w:eastAsia="Times New Roman" w:hAnsi="Arial" w:cs="Arial"/>
                <w:color w:val="2B2A2A"/>
                <w:sz w:val="18"/>
                <w:szCs w:val="18"/>
                <w:lang w:eastAsia="fr-FR"/>
              </w:rPr>
              <w:t>Romorantin</w:t>
            </w:r>
          </w:p>
          <w:p w:rsidR="009D1AAE" w:rsidRDefault="009D1AAE" w:rsidP="009D1AAE">
            <w:pPr>
              <w:spacing w:before="150"/>
              <w:jc w:val="center"/>
              <w:rPr>
                <w:rFonts w:ascii="Arial" w:eastAsia="Times New Roman" w:hAnsi="Arial" w:cs="Arial"/>
                <w:color w:val="2B2A2A"/>
                <w:sz w:val="18"/>
                <w:szCs w:val="18"/>
                <w:lang w:eastAsia="fr-FR"/>
              </w:rPr>
            </w:pPr>
          </w:p>
          <w:p w:rsidR="009D1AAE" w:rsidRDefault="009D1AAE" w:rsidP="009D1AAE">
            <w:pPr>
              <w:spacing w:before="150"/>
              <w:jc w:val="center"/>
              <w:rPr>
                <w:rFonts w:ascii="Arial" w:eastAsia="Times New Roman" w:hAnsi="Arial" w:cs="Arial"/>
                <w:color w:val="2B2A2A"/>
                <w:sz w:val="18"/>
                <w:szCs w:val="18"/>
                <w:lang w:eastAsia="fr-FR"/>
              </w:rPr>
            </w:pPr>
          </w:p>
        </w:tc>
      </w:tr>
    </w:tbl>
    <w:p w:rsidR="0067264D" w:rsidRDefault="0067264D"/>
    <w:sectPr w:rsidR="0067264D" w:rsidSect="009D1AAE">
      <w:pgSz w:w="11906" w:h="16838" w:code="9"/>
      <w:pgMar w:top="709" w:right="1417" w:bottom="156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F09E2"/>
    <w:multiLevelType w:val="multilevel"/>
    <w:tmpl w:val="B75A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E41A5"/>
    <w:multiLevelType w:val="multilevel"/>
    <w:tmpl w:val="12C4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AE"/>
    <w:rsid w:val="005563F9"/>
    <w:rsid w:val="0067264D"/>
    <w:rsid w:val="00674061"/>
    <w:rsid w:val="00845F9C"/>
    <w:rsid w:val="009D1A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D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D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15761">
      <w:bodyDiv w:val="1"/>
      <w:marLeft w:val="0"/>
      <w:marRight w:val="0"/>
      <w:marTop w:val="0"/>
      <w:marBottom w:val="0"/>
      <w:divBdr>
        <w:top w:val="none" w:sz="0" w:space="0" w:color="auto"/>
        <w:left w:val="none" w:sz="0" w:space="0" w:color="auto"/>
        <w:bottom w:val="none" w:sz="0" w:space="0" w:color="auto"/>
        <w:right w:val="none" w:sz="0" w:space="0" w:color="auto"/>
      </w:divBdr>
      <w:divsChild>
        <w:div w:id="1316181939">
          <w:marLeft w:val="0"/>
          <w:marRight w:val="0"/>
          <w:marTop w:val="0"/>
          <w:marBottom w:val="0"/>
          <w:divBdr>
            <w:top w:val="none" w:sz="0" w:space="0" w:color="auto"/>
            <w:left w:val="none" w:sz="0" w:space="0" w:color="auto"/>
            <w:bottom w:val="none" w:sz="0" w:space="0" w:color="auto"/>
            <w:right w:val="none" w:sz="0" w:space="0" w:color="auto"/>
          </w:divBdr>
        </w:div>
        <w:div w:id="912927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pscentre.org/category/form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Lubineau</dc:creator>
  <cp:lastModifiedBy>Morgane</cp:lastModifiedBy>
  <cp:revision>2</cp:revision>
  <cp:lastPrinted>2015-02-03T13:52:00Z</cp:lastPrinted>
  <dcterms:created xsi:type="dcterms:W3CDTF">2015-02-05T09:41:00Z</dcterms:created>
  <dcterms:modified xsi:type="dcterms:W3CDTF">2015-02-05T09:41:00Z</dcterms:modified>
</cp:coreProperties>
</file>